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F8B1D" w14:textId="77777777" w:rsidR="00C74BE0" w:rsidRPr="00C74BE0" w:rsidRDefault="00C74BE0" w:rsidP="00871B87">
      <w:pPr>
        <w:spacing w:after="2880"/>
        <w:rPr>
          <w:color w:val="FFFFFF" w:themeColor="background1"/>
        </w:rPr>
      </w:pPr>
    </w:p>
    <w:p w14:paraId="6AC8BA83" w14:textId="53CA3CFC" w:rsidR="003C0907" w:rsidRPr="00770CEA" w:rsidRDefault="00434265" w:rsidP="00932CE3">
      <w:pPr>
        <w:pStyle w:val="CoverHeading"/>
      </w:pPr>
      <w:r>
        <w:t>Terms of Reference for the Cochrane WHO Working Group</w:t>
      </w:r>
    </w:p>
    <w:p w14:paraId="31A831C5" w14:textId="73BB206C" w:rsidR="00C74BE0" w:rsidRPr="00871B87" w:rsidRDefault="007510B3" w:rsidP="00B62AF8">
      <w:pPr>
        <w:pStyle w:val="CoverDescriptor"/>
      </w:pPr>
      <w:r>
        <w:t>August 15</w:t>
      </w:r>
      <w:r w:rsidR="00434265">
        <w:t>, 201</w:t>
      </w:r>
      <w:r>
        <w:t>7</w:t>
      </w:r>
    </w:p>
    <w:p w14:paraId="1C8A27EA" w14:textId="77777777" w:rsidR="00D17963" w:rsidRDefault="00D17963" w:rsidP="00871B87">
      <w:pPr>
        <w:spacing w:line="420" w:lineRule="exact"/>
        <w:ind w:right="5160"/>
        <w:rPr>
          <w:rFonts w:asciiTheme="majorHAnsi" w:hAnsiTheme="majorHAnsi"/>
          <w:color w:val="962D91" w:themeColor="background2"/>
          <w:sz w:val="36"/>
          <w:szCs w:val="36"/>
        </w:rPr>
      </w:pPr>
    </w:p>
    <w:p w14:paraId="7B29EB36" w14:textId="77777777" w:rsidR="00D17963" w:rsidRPr="008D41D1" w:rsidRDefault="00D17963" w:rsidP="008D41D1">
      <w:pPr>
        <w:sectPr w:rsidR="00D17963" w:rsidRPr="008D41D1" w:rsidSect="000474F3">
          <w:headerReference w:type="default" r:id="rId8"/>
          <w:footerReference w:type="default" r:id="rId9"/>
          <w:pgSz w:w="11906" w:h="16838" w:code="9"/>
          <w:pgMar w:top="1701" w:right="680" w:bottom="1134" w:left="680" w:header="680" w:footer="624" w:gutter="0"/>
          <w:cols w:space="708"/>
          <w:docGrid w:linePitch="360"/>
        </w:sectPr>
      </w:pPr>
    </w:p>
    <w:p w14:paraId="14551885" w14:textId="77777777" w:rsidR="00434265" w:rsidRPr="004E6F7D" w:rsidRDefault="00434265" w:rsidP="00434265">
      <w:pPr>
        <w:pStyle w:val="PagesHeading"/>
      </w:pPr>
      <w:r w:rsidRPr="004E6F7D">
        <w:lastRenderedPageBreak/>
        <w:t>Purpose</w:t>
      </w:r>
    </w:p>
    <w:p w14:paraId="1F9A529A" w14:textId="77777777" w:rsidR="00434265" w:rsidRPr="004E6F7D" w:rsidRDefault="00434265" w:rsidP="00434265">
      <w:pPr>
        <w:jc w:val="both"/>
        <w:rPr>
          <w:rFonts w:asciiTheme="majorHAnsi" w:hAnsiTheme="majorHAnsi"/>
        </w:rPr>
      </w:pPr>
      <w:r w:rsidRPr="004E6F7D">
        <w:rPr>
          <w:rFonts w:asciiTheme="majorHAnsi" w:hAnsiTheme="majorHAnsi"/>
        </w:rPr>
        <w:t>Cochrane is an NGO in official relations with the WHO. The Cochrane WHO Working Group aims to develop and strengthen this official partnership. It does this through facilitating technical input around systematic reviews and evidence-informed decision making to the various programmes, initiatives and departments of the WHO, and through working with the WHO to reach people making decisions in health.</w:t>
      </w:r>
    </w:p>
    <w:p w14:paraId="7E5F9ED4" w14:textId="77777777" w:rsidR="00434265" w:rsidRPr="004E6F7D" w:rsidRDefault="00434265" w:rsidP="00434265">
      <w:pPr>
        <w:jc w:val="both"/>
        <w:rPr>
          <w:rFonts w:asciiTheme="majorHAnsi" w:hAnsiTheme="majorHAnsi"/>
        </w:rPr>
      </w:pPr>
    </w:p>
    <w:p w14:paraId="355D36C2" w14:textId="77777777" w:rsidR="00434265" w:rsidRPr="004E6F7D" w:rsidRDefault="00434265" w:rsidP="00434265">
      <w:pPr>
        <w:pStyle w:val="PagesHeading"/>
      </w:pPr>
      <w:r w:rsidRPr="004E6F7D">
        <w:t>Objectives</w:t>
      </w:r>
    </w:p>
    <w:p w14:paraId="540A812C" w14:textId="7F86BFDB" w:rsidR="00434265" w:rsidRPr="004E6F7D" w:rsidRDefault="00434265" w:rsidP="00434265">
      <w:pPr>
        <w:pStyle w:val="ListParagraph"/>
        <w:numPr>
          <w:ilvl w:val="0"/>
          <w:numId w:val="26"/>
        </w:numPr>
        <w:rPr>
          <w:rFonts w:asciiTheme="majorHAnsi" w:hAnsiTheme="majorHAnsi"/>
        </w:rPr>
      </w:pPr>
      <w:r w:rsidRPr="004E6F7D">
        <w:rPr>
          <w:rFonts w:asciiTheme="majorHAnsi" w:hAnsiTheme="majorHAnsi"/>
        </w:rPr>
        <w:t xml:space="preserve">To </w:t>
      </w:r>
      <w:r w:rsidR="007510B3">
        <w:rPr>
          <w:rFonts w:asciiTheme="majorHAnsi" w:hAnsiTheme="majorHAnsi"/>
        </w:rPr>
        <w:t xml:space="preserve">support the implementation of Cochrane’s strategic plan of collaboration with the </w:t>
      </w:r>
      <w:r w:rsidR="00AE0C59">
        <w:rPr>
          <w:rFonts w:asciiTheme="majorHAnsi" w:hAnsiTheme="majorHAnsi"/>
        </w:rPr>
        <w:t xml:space="preserve">WHO, as well as the development of the </w:t>
      </w:r>
      <w:r w:rsidRPr="004E6F7D">
        <w:rPr>
          <w:rFonts w:asciiTheme="majorHAnsi" w:hAnsiTheme="majorHAnsi"/>
        </w:rPr>
        <w:t>three-year</w:t>
      </w:r>
      <w:r w:rsidR="00AE0C59">
        <w:rPr>
          <w:rFonts w:asciiTheme="majorHAnsi" w:hAnsiTheme="majorHAnsi"/>
        </w:rPr>
        <w:t>ly</w:t>
      </w:r>
      <w:r w:rsidRPr="004E6F7D">
        <w:rPr>
          <w:rFonts w:asciiTheme="majorHAnsi" w:hAnsiTheme="majorHAnsi"/>
        </w:rPr>
        <w:t xml:space="preserve"> plan of collaboration </w:t>
      </w:r>
      <w:r w:rsidR="00AE0C59">
        <w:rPr>
          <w:rFonts w:asciiTheme="majorHAnsi" w:hAnsiTheme="majorHAnsi"/>
        </w:rPr>
        <w:t xml:space="preserve">requested by </w:t>
      </w:r>
      <w:r w:rsidRPr="004E6F7D">
        <w:rPr>
          <w:rFonts w:asciiTheme="majorHAnsi" w:hAnsiTheme="majorHAnsi"/>
        </w:rPr>
        <w:t xml:space="preserve">the WHO </w:t>
      </w:r>
      <w:r>
        <w:rPr>
          <w:rFonts w:asciiTheme="majorHAnsi" w:hAnsiTheme="majorHAnsi"/>
        </w:rPr>
        <w:t xml:space="preserve">that includes outputs that are mutually beneficial to the two groups achieving their organisational goals. </w:t>
      </w:r>
    </w:p>
    <w:p w14:paraId="320A66E0" w14:textId="77777777" w:rsidR="00434265" w:rsidRPr="004E6F7D" w:rsidRDefault="00434265" w:rsidP="00434265">
      <w:pPr>
        <w:pStyle w:val="ListParagraph"/>
        <w:numPr>
          <w:ilvl w:val="0"/>
          <w:numId w:val="26"/>
        </w:numPr>
        <w:rPr>
          <w:rFonts w:asciiTheme="majorHAnsi" w:hAnsiTheme="majorHAnsi"/>
        </w:rPr>
      </w:pPr>
      <w:r w:rsidRPr="004E6F7D">
        <w:rPr>
          <w:rFonts w:asciiTheme="majorHAnsi" w:hAnsiTheme="majorHAnsi"/>
        </w:rPr>
        <w:t>To monitor and evaluate the</w:t>
      </w:r>
      <w:r>
        <w:rPr>
          <w:rFonts w:asciiTheme="majorHAnsi" w:hAnsiTheme="majorHAnsi"/>
        </w:rPr>
        <w:t>se outputs in terms of the</w:t>
      </w:r>
      <w:r w:rsidRPr="004E6F7D">
        <w:rPr>
          <w:rFonts w:asciiTheme="majorHAnsi" w:hAnsiTheme="majorHAnsi"/>
        </w:rPr>
        <w:t xml:space="preserve"> quality </w:t>
      </w:r>
      <w:r>
        <w:rPr>
          <w:rFonts w:asciiTheme="majorHAnsi" w:hAnsiTheme="majorHAnsi"/>
        </w:rPr>
        <w:t xml:space="preserve">and </w:t>
      </w:r>
      <w:r w:rsidRPr="004E6F7D">
        <w:rPr>
          <w:rFonts w:asciiTheme="majorHAnsi" w:hAnsiTheme="majorHAnsi"/>
        </w:rPr>
        <w:t>timeliness.</w:t>
      </w:r>
    </w:p>
    <w:p w14:paraId="54197CCF" w14:textId="77777777"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To ensure timely reporting to the WHO on the plan.</w:t>
      </w:r>
    </w:p>
    <w:p w14:paraId="70D5FE71" w14:textId="77777777" w:rsidR="00434265"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To keep informed of WHO priorities, particularly for guidelines, to which Cochrane entities can respond. </w:t>
      </w:r>
    </w:p>
    <w:p w14:paraId="2F3CD17A" w14:textId="37A608BD" w:rsidR="00AE0C59" w:rsidRDefault="00AE0C59" w:rsidP="00434265">
      <w:pPr>
        <w:pStyle w:val="ListParagraph"/>
        <w:numPr>
          <w:ilvl w:val="0"/>
          <w:numId w:val="26"/>
        </w:numPr>
        <w:jc w:val="both"/>
        <w:rPr>
          <w:rFonts w:asciiTheme="majorHAnsi" w:hAnsiTheme="majorHAnsi"/>
        </w:rPr>
      </w:pPr>
      <w:r>
        <w:rPr>
          <w:rFonts w:asciiTheme="majorHAnsi" w:hAnsiTheme="majorHAnsi"/>
        </w:rPr>
        <w:t>To listen to feedback received from WHO staff on Cochrane’s reviews, methodological expertise and/or training provided. Ensure appropriate response and communicate key messages from WHO to the wider Cochrane community.</w:t>
      </w:r>
    </w:p>
    <w:p w14:paraId="5C8F2ECF" w14:textId="77777777"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To ensure Cochrane presence at the World Health Assembly and other WHO meetings where relevant.</w:t>
      </w:r>
    </w:p>
    <w:p w14:paraId="7C039B7B" w14:textId="6F7B20FA"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To follow trends and new developments within WHO to ensure a Cochrane response when appropriate and feasible. </w:t>
      </w:r>
    </w:p>
    <w:p w14:paraId="3170A72F" w14:textId="77777777"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To facilitate</w:t>
      </w:r>
      <w:r>
        <w:rPr>
          <w:rFonts w:asciiTheme="majorHAnsi" w:hAnsiTheme="majorHAnsi"/>
        </w:rPr>
        <w:t xml:space="preserve"> regular</w:t>
      </w:r>
      <w:r w:rsidRPr="004E6F7D">
        <w:rPr>
          <w:rFonts w:asciiTheme="majorHAnsi" w:hAnsiTheme="majorHAnsi"/>
        </w:rPr>
        <w:t xml:space="preserve"> communication between the </w:t>
      </w:r>
      <w:r>
        <w:rPr>
          <w:rFonts w:asciiTheme="majorHAnsi" w:hAnsiTheme="majorHAnsi"/>
        </w:rPr>
        <w:t xml:space="preserve">various technical departments in </w:t>
      </w:r>
      <w:r w:rsidRPr="004E6F7D">
        <w:rPr>
          <w:rFonts w:asciiTheme="majorHAnsi" w:hAnsiTheme="majorHAnsi"/>
        </w:rPr>
        <w:t>WHO and Cochrane.</w:t>
      </w:r>
    </w:p>
    <w:p w14:paraId="49CA8652" w14:textId="61AD10BA"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To inform Cochrane’s </w:t>
      </w:r>
      <w:r w:rsidR="00065E80">
        <w:rPr>
          <w:rFonts w:asciiTheme="majorHAnsi" w:hAnsiTheme="majorHAnsi"/>
        </w:rPr>
        <w:t>Governing Board</w:t>
      </w:r>
      <w:r w:rsidRPr="004E6F7D">
        <w:rPr>
          <w:rFonts w:asciiTheme="majorHAnsi" w:hAnsiTheme="majorHAnsi"/>
        </w:rPr>
        <w:t xml:space="preserve"> on issues arising from the partnership that are relevant to Cochrane governance and/or strategic direction, enabling Cochrane to respond.</w:t>
      </w:r>
    </w:p>
    <w:p w14:paraId="798FE63B" w14:textId="77777777" w:rsidR="00434265" w:rsidRPr="004E6F7D" w:rsidRDefault="00434265" w:rsidP="00434265">
      <w:pPr>
        <w:jc w:val="both"/>
        <w:rPr>
          <w:rFonts w:asciiTheme="majorHAnsi" w:hAnsiTheme="majorHAnsi"/>
        </w:rPr>
      </w:pPr>
    </w:p>
    <w:p w14:paraId="20805B99" w14:textId="77777777" w:rsidR="00434265" w:rsidRPr="004E6F7D" w:rsidRDefault="00434265" w:rsidP="00434265">
      <w:pPr>
        <w:pStyle w:val="PagesHeading"/>
      </w:pPr>
      <w:r w:rsidRPr="004E6F7D">
        <w:t>Accountability and reporting</w:t>
      </w:r>
    </w:p>
    <w:p w14:paraId="7746C14A" w14:textId="47679DCA"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 xml:space="preserve">Produce written reports for the </w:t>
      </w:r>
      <w:r w:rsidR="00065E80">
        <w:rPr>
          <w:rFonts w:asciiTheme="majorHAnsi" w:hAnsiTheme="majorHAnsi"/>
        </w:rPr>
        <w:t>Governing Board</w:t>
      </w:r>
      <w:r w:rsidR="00065E80" w:rsidRPr="004E6F7D">
        <w:rPr>
          <w:rFonts w:asciiTheme="majorHAnsi" w:hAnsiTheme="majorHAnsi"/>
        </w:rPr>
        <w:t xml:space="preserve"> </w:t>
      </w:r>
      <w:r w:rsidRPr="004E6F7D">
        <w:rPr>
          <w:rFonts w:asciiTheme="majorHAnsi" w:hAnsiTheme="majorHAnsi"/>
        </w:rPr>
        <w:t>and other stakeholders as requested.</w:t>
      </w:r>
    </w:p>
    <w:p w14:paraId="70722360" w14:textId="77777777"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Provide an annual work plan.</w:t>
      </w:r>
    </w:p>
    <w:p w14:paraId="65C3FE80" w14:textId="77777777"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Hold yearly meeting at colloquium to seek input from the Cochrane community.</w:t>
      </w:r>
    </w:p>
    <w:p w14:paraId="2B07729B" w14:textId="77777777"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 xml:space="preserve">Administrative support to this group will be provided by Cochrane Executive Team. </w:t>
      </w:r>
    </w:p>
    <w:p w14:paraId="57C472AF" w14:textId="77777777" w:rsidR="00434265" w:rsidRPr="004E6F7D" w:rsidRDefault="00434265" w:rsidP="00434265">
      <w:pPr>
        <w:jc w:val="both"/>
        <w:rPr>
          <w:rFonts w:asciiTheme="majorHAnsi" w:hAnsiTheme="majorHAnsi"/>
        </w:rPr>
      </w:pPr>
    </w:p>
    <w:p w14:paraId="26707D44" w14:textId="77777777" w:rsidR="00434265" w:rsidRPr="004E6F7D" w:rsidRDefault="00434265" w:rsidP="00434265">
      <w:pPr>
        <w:pStyle w:val="PagesHeading"/>
      </w:pPr>
      <w:r w:rsidRPr="004E6F7D">
        <w:t>Membership</w:t>
      </w:r>
    </w:p>
    <w:p w14:paraId="77D05755" w14:textId="183F5966" w:rsidR="000A01DD" w:rsidRPr="000A01DD" w:rsidRDefault="0016601E" w:rsidP="000A01DD">
      <w:pPr>
        <w:jc w:val="both"/>
        <w:rPr>
          <w:rFonts w:asciiTheme="majorHAnsi" w:hAnsiTheme="majorHAnsi"/>
        </w:rPr>
      </w:pPr>
      <w:r w:rsidRPr="000A01DD">
        <w:rPr>
          <w:rFonts w:asciiTheme="majorHAnsi" w:hAnsiTheme="majorHAnsi"/>
        </w:rPr>
        <w:t xml:space="preserve">The group will consist of ten members, of which </w:t>
      </w:r>
      <w:r w:rsidR="00222767" w:rsidRPr="000A01DD">
        <w:rPr>
          <w:rFonts w:asciiTheme="majorHAnsi" w:hAnsiTheme="majorHAnsi"/>
        </w:rPr>
        <w:t xml:space="preserve">5 are </w:t>
      </w:r>
      <w:r w:rsidR="000A01DD" w:rsidRPr="000A01DD">
        <w:rPr>
          <w:rFonts w:asciiTheme="majorHAnsi" w:hAnsiTheme="majorHAnsi"/>
        </w:rPr>
        <w:t>based in</w:t>
      </w:r>
      <w:r w:rsidR="00222767" w:rsidRPr="000A01DD">
        <w:rPr>
          <w:rFonts w:asciiTheme="majorHAnsi" w:hAnsiTheme="majorHAnsi"/>
        </w:rPr>
        <w:t xml:space="preserve"> a Low or </w:t>
      </w:r>
      <w:r w:rsidR="00222767" w:rsidRPr="002B1BB6">
        <w:rPr>
          <w:rFonts w:asciiTheme="majorHAnsi" w:hAnsiTheme="majorHAnsi"/>
        </w:rPr>
        <w:t>Middle</w:t>
      </w:r>
      <w:r w:rsidR="00222767" w:rsidRPr="000A01DD">
        <w:rPr>
          <w:rFonts w:asciiTheme="majorHAnsi" w:hAnsiTheme="majorHAnsi"/>
        </w:rPr>
        <w:t xml:space="preserve"> Income Country</w:t>
      </w:r>
      <w:r w:rsidR="000A01DD" w:rsidRPr="000A01DD">
        <w:rPr>
          <w:rFonts w:asciiTheme="majorHAnsi" w:hAnsiTheme="majorHAnsi"/>
        </w:rPr>
        <w:t>, as follows:</w:t>
      </w:r>
    </w:p>
    <w:p w14:paraId="44825D70" w14:textId="781272CF" w:rsidR="00434265" w:rsidRPr="000A01DD" w:rsidRDefault="00434265" w:rsidP="0016601E">
      <w:pPr>
        <w:pStyle w:val="ListParagraph"/>
        <w:numPr>
          <w:ilvl w:val="0"/>
          <w:numId w:val="27"/>
        </w:numPr>
        <w:jc w:val="both"/>
        <w:rPr>
          <w:rFonts w:asciiTheme="majorHAnsi" w:hAnsiTheme="majorHAnsi"/>
        </w:rPr>
      </w:pPr>
      <w:r w:rsidRPr="000A01DD">
        <w:rPr>
          <w:rFonts w:asciiTheme="majorHAnsi" w:hAnsiTheme="majorHAnsi"/>
        </w:rPr>
        <w:t xml:space="preserve">Cochrane </w:t>
      </w:r>
      <w:r w:rsidR="005F158D">
        <w:rPr>
          <w:rFonts w:asciiTheme="majorHAnsi" w:hAnsiTheme="majorHAnsi"/>
        </w:rPr>
        <w:t>Senior Advisor (Partnerships, External Affairs &amp; Fundraising)</w:t>
      </w:r>
      <w:r w:rsidRPr="000A01DD">
        <w:rPr>
          <w:rFonts w:asciiTheme="majorHAnsi" w:hAnsiTheme="majorHAnsi"/>
        </w:rPr>
        <w:t xml:space="preserve"> (Co-chair)</w:t>
      </w:r>
      <w:r w:rsidR="00C05A98">
        <w:rPr>
          <w:rFonts w:asciiTheme="majorHAnsi" w:hAnsiTheme="majorHAnsi"/>
        </w:rPr>
        <w:t>;</w:t>
      </w:r>
    </w:p>
    <w:p w14:paraId="58477351" w14:textId="4D2D29E1" w:rsidR="00434265" w:rsidRPr="004E6F7D" w:rsidRDefault="000A01DD" w:rsidP="00434265">
      <w:pPr>
        <w:pStyle w:val="ListParagraph"/>
        <w:numPr>
          <w:ilvl w:val="0"/>
          <w:numId w:val="27"/>
        </w:numPr>
        <w:jc w:val="both"/>
        <w:rPr>
          <w:rFonts w:asciiTheme="majorHAnsi" w:hAnsiTheme="majorHAnsi"/>
        </w:rPr>
      </w:pPr>
      <w:r>
        <w:rPr>
          <w:rFonts w:asciiTheme="majorHAnsi" w:hAnsiTheme="majorHAnsi"/>
        </w:rPr>
        <w:t>A r</w:t>
      </w:r>
      <w:r w:rsidR="00434265" w:rsidRPr="004E6F7D">
        <w:rPr>
          <w:rFonts w:asciiTheme="majorHAnsi" w:hAnsiTheme="majorHAnsi"/>
        </w:rPr>
        <w:t xml:space="preserve">epresentative from </w:t>
      </w:r>
      <w:r>
        <w:rPr>
          <w:rFonts w:asciiTheme="majorHAnsi" w:hAnsiTheme="majorHAnsi"/>
        </w:rPr>
        <w:t xml:space="preserve">the </w:t>
      </w:r>
      <w:r w:rsidR="00434265" w:rsidRPr="004E6F7D">
        <w:rPr>
          <w:rFonts w:asciiTheme="majorHAnsi" w:hAnsiTheme="majorHAnsi"/>
        </w:rPr>
        <w:t xml:space="preserve">Cochrane </w:t>
      </w:r>
      <w:r w:rsidR="00065E80">
        <w:rPr>
          <w:rFonts w:asciiTheme="majorHAnsi" w:hAnsiTheme="majorHAnsi"/>
        </w:rPr>
        <w:t>Governing Board</w:t>
      </w:r>
      <w:r w:rsidR="00C05A98">
        <w:rPr>
          <w:rFonts w:asciiTheme="majorHAnsi" w:hAnsiTheme="majorHAnsi"/>
        </w:rPr>
        <w:t>;</w:t>
      </w:r>
    </w:p>
    <w:p w14:paraId="099EA981" w14:textId="40B1F749" w:rsidR="00434265" w:rsidRPr="005F158D" w:rsidRDefault="00434265" w:rsidP="005F158D">
      <w:pPr>
        <w:pStyle w:val="ListParagraph"/>
        <w:numPr>
          <w:ilvl w:val="0"/>
          <w:numId w:val="27"/>
        </w:numPr>
        <w:jc w:val="both"/>
        <w:rPr>
          <w:rFonts w:asciiTheme="majorHAnsi" w:hAnsiTheme="majorHAnsi"/>
        </w:rPr>
      </w:pPr>
      <w:r>
        <w:rPr>
          <w:rFonts w:asciiTheme="majorHAnsi" w:hAnsiTheme="majorHAnsi"/>
        </w:rPr>
        <w:t>Cochrane’s Editor-in-Chief</w:t>
      </w:r>
      <w:r w:rsidR="000A01DD">
        <w:rPr>
          <w:rFonts w:asciiTheme="majorHAnsi" w:hAnsiTheme="majorHAnsi"/>
        </w:rPr>
        <w:t xml:space="preserve"> o</w:t>
      </w:r>
      <w:r w:rsidR="00C05A98">
        <w:rPr>
          <w:rFonts w:asciiTheme="majorHAnsi" w:hAnsiTheme="majorHAnsi"/>
        </w:rPr>
        <w:t>r his designated representative;</w:t>
      </w:r>
      <w:r w:rsidR="000A01DD">
        <w:rPr>
          <w:rFonts w:asciiTheme="majorHAnsi" w:hAnsiTheme="majorHAnsi"/>
        </w:rPr>
        <w:t xml:space="preserve"> </w:t>
      </w:r>
      <w:r w:rsidR="00C05A98" w:rsidRPr="005F158D">
        <w:rPr>
          <w:rFonts w:asciiTheme="majorHAnsi" w:hAnsiTheme="majorHAnsi"/>
        </w:rPr>
        <w:t>and</w:t>
      </w:r>
    </w:p>
    <w:p w14:paraId="26D96254" w14:textId="70D422FB" w:rsidR="00434265" w:rsidRDefault="005F158D" w:rsidP="00434265">
      <w:pPr>
        <w:pStyle w:val="ListParagraph"/>
        <w:numPr>
          <w:ilvl w:val="0"/>
          <w:numId w:val="27"/>
        </w:numPr>
        <w:jc w:val="both"/>
        <w:rPr>
          <w:rFonts w:asciiTheme="majorHAnsi" w:hAnsiTheme="majorHAnsi"/>
        </w:rPr>
      </w:pPr>
      <w:r>
        <w:rPr>
          <w:rFonts w:asciiTheme="majorHAnsi" w:hAnsiTheme="majorHAnsi"/>
        </w:rPr>
        <w:t>7</w:t>
      </w:r>
      <w:r w:rsidR="00434265" w:rsidRPr="004E6F7D">
        <w:rPr>
          <w:rFonts w:asciiTheme="majorHAnsi" w:hAnsiTheme="majorHAnsi"/>
        </w:rPr>
        <w:t xml:space="preserve"> members active within the Cochrane network and with knowledge of WHO processes and programmes. </w:t>
      </w:r>
    </w:p>
    <w:p w14:paraId="38728B90" w14:textId="6612D1E1" w:rsidR="00B5470F" w:rsidRDefault="00B5470F" w:rsidP="00434265">
      <w:pPr>
        <w:pStyle w:val="ListParagraph"/>
        <w:numPr>
          <w:ilvl w:val="0"/>
          <w:numId w:val="27"/>
        </w:numPr>
        <w:jc w:val="both"/>
        <w:rPr>
          <w:rFonts w:asciiTheme="majorHAnsi" w:hAnsiTheme="majorHAnsi"/>
        </w:rPr>
      </w:pPr>
      <w:r>
        <w:rPr>
          <w:rFonts w:asciiTheme="majorHAnsi" w:hAnsiTheme="majorHAnsi"/>
        </w:rPr>
        <w:t xml:space="preserve">The expertise of the group </w:t>
      </w:r>
      <w:proofErr w:type="gramStart"/>
      <w:r>
        <w:rPr>
          <w:rFonts w:asciiTheme="majorHAnsi" w:hAnsiTheme="majorHAnsi"/>
        </w:rPr>
        <w:t>as a whole aims</w:t>
      </w:r>
      <w:proofErr w:type="gramEnd"/>
      <w:r>
        <w:rPr>
          <w:rFonts w:asciiTheme="majorHAnsi" w:hAnsiTheme="majorHAnsi"/>
        </w:rPr>
        <w:t xml:space="preserve"> to cover a diverse range of thematic areas (including NCDs; infectious diseases; public health), technical areas (including methodological expertise; guideline development; training; essential medicines)</w:t>
      </w:r>
      <w:r w:rsidR="008A2244">
        <w:rPr>
          <w:rFonts w:asciiTheme="majorHAnsi" w:hAnsiTheme="majorHAnsi"/>
        </w:rPr>
        <w:t>, and WHO regions.</w:t>
      </w:r>
    </w:p>
    <w:p w14:paraId="78F5975D" w14:textId="77777777" w:rsidR="000A01DD" w:rsidRDefault="000A01DD" w:rsidP="000A01DD">
      <w:pPr>
        <w:jc w:val="both"/>
        <w:rPr>
          <w:rFonts w:asciiTheme="majorHAnsi" w:hAnsiTheme="majorHAnsi"/>
        </w:rPr>
      </w:pPr>
    </w:p>
    <w:p w14:paraId="02DEA83A" w14:textId="4F0D6111" w:rsidR="00434265" w:rsidRPr="005F158D" w:rsidRDefault="000A01DD" w:rsidP="00434265">
      <w:pPr>
        <w:jc w:val="both"/>
        <w:rPr>
          <w:rFonts w:asciiTheme="majorHAnsi" w:hAnsiTheme="majorHAnsi"/>
        </w:rPr>
      </w:pPr>
      <w:r>
        <w:rPr>
          <w:rFonts w:asciiTheme="majorHAnsi" w:hAnsiTheme="majorHAnsi"/>
        </w:rPr>
        <w:t xml:space="preserve">Membership </w:t>
      </w:r>
      <w:r w:rsidR="00065E80" w:rsidRPr="000A01DD">
        <w:rPr>
          <w:rFonts w:asciiTheme="majorHAnsi" w:hAnsiTheme="majorHAnsi"/>
        </w:rPr>
        <w:t xml:space="preserve">is for a period of three years, renewable once. </w:t>
      </w:r>
    </w:p>
    <w:p w14:paraId="32E87B15" w14:textId="77777777" w:rsidR="00434265" w:rsidRPr="004E6F7D" w:rsidRDefault="00434265" w:rsidP="00434265">
      <w:pPr>
        <w:pStyle w:val="PagesHeading"/>
      </w:pPr>
      <w:r w:rsidRPr="004E6F7D">
        <w:lastRenderedPageBreak/>
        <w:t>Decision-making</w:t>
      </w:r>
    </w:p>
    <w:p w14:paraId="30457897" w14:textId="16435E4A" w:rsidR="00434265" w:rsidRPr="005F158D" w:rsidRDefault="00434265" w:rsidP="005F158D">
      <w:pPr>
        <w:pStyle w:val="ListParagraph"/>
        <w:numPr>
          <w:ilvl w:val="0"/>
          <w:numId w:val="27"/>
        </w:numPr>
        <w:jc w:val="both"/>
        <w:rPr>
          <w:rFonts w:asciiTheme="majorHAnsi" w:hAnsiTheme="majorHAnsi"/>
        </w:rPr>
      </w:pPr>
      <w:r w:rsidRPr="004E6F7D">
        <w:rPr>
          <w:rFonts w:asciiTheme="majorHAnsi" w:hAnsiTheme="majorHAnsi"/>
        </w:rPr>
        <w:t>The Working Group aims to take decisions by consensus.</w:t>
      </w:r>
    </w:p>
    <w:p w14:paraId="742FF9F7" w14:textId="05699F53"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 xml:space="preserve">The Working Group provides strategic and technical guidance to </w:t>
      </w:r>
      <w:r w:rsidR="005F158D" w:rsidRPr="000A01DD">
        <w:rPr>
          <w:rFonts w:asciiTheme="majorHAnsi" w:hAnsiTheme="majorHAnsi"/>
        </w:rPr>
        <w:t>Cochrane</w:t>
      </w:r>
      <w:r w:rsidR="005F158D">
        <w:rPr>
          <w:rFonts w:asciiTheme="majorHAnsi" w:hAnsiTheme="majorHAnsi"/>
        </w:rPr>
        <w:t>’s</w:t>
      </w:r>
      <w:r w:rsidR="005F158D" w:rsidRPr="000A01DD">
        <w:rPr>
          <w:rFonts w:asciiTheme="majorHAnsi" w:hAnsiTheme="majorHAnsi"/>
        </w:rPr>
        <w:t xml:space="preserve"> </w:t>
      </w:r>
      <w:r w:rsidR="005F158D">
        <w:rPr>
          <w:rFonts w:asciiTheme="majorHAnsi" w:hAnsiTheme="majorHAnsi"/>
        </w:rPr>
        <w:t>Senior Advisor (Partnerships, External Affairs &amp; Fundraising)</w:t>
      </w:r>
      <w:r w:rsidR="005F158D" w:rsidRPr="000A01DD">
        <w:rPr>
          <w:rFonts w:asciiTheme="majorHAnsi" w:hAnsiTheme="majorHAnsi"/>
        </w:rPr>
        <w:t xml:space="preserve"> </w:t>
      </w:r>
      <w:r w:rsidRPr="004E6F7D">
        <w:rPr>
          <w:rFonts w:asciiTheme="majorHAnsi" w:hAnsiTheme="majorHAnsi"/>
        </w:rPr>
        <w:t xml:space="preserve">for any issues arising from the on-going interactions the </w:t>
      </w:r>
      <w:r w:rsidR="005F158D">
        <w:rPr>
          <w:rFonts w:asciiTheme="majorHAnsi" w:hAnsiTheme="majorHAnsi"/>
        </w:rPr>
        <w:t>Senior Advisor</w:t>
      </w:r>
      <w:bookmarkStart w:id="0" w:name="_GoBack"/>
      <w:bookmarkEnd w:id="0"/>
      <w:r w:rsidR="00065E80" w:rsidRPr="004E6F7D">
        <w:rPr>
          <w:rFonts w:asciiTheme="majorHAnsi" w:hAnsiTheme="majorHAnsi"/>
        </w:rPr>
        <w:t xml:space="preserve"> </w:t>
      </w:r>
      <w:r w:rsidRPr="004E6F7D">
        <w:rPr>
          <w:rFonts w:asciiTheme="majorHAnsi" w:hAnsiTheme="majorHAnsi"/>
        </w:rPr>
        <w:t>has with WHO staff and Cochrane contributors.</w:t>
      </w:r>
    </w:p>
    <w:p w14:paraId="6F957303" w14:textId="77777777"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The Working Group calls upon additional technical expertise from the Cochrane network when needed. Most notably this will be done for Cochrane statements to be made at WHO meetings on topics that are beyond the technical expertise of the Working Group members, as well as to alert the Cochrane network to WHO calls for members of various committees</w:t>
      </w:r>
    </w:p>
    <w:p w14:paraId="536A24B6" w14:textId="2CD736C6" w:rsidR="00434265" w:rsidRPr="004E6F7D" w:rsidRDefault="00434265" w:rsidP="00434265">
      <w:pPr>
        <w:pStyle w:val="ListParagraph"/>
        <w:numPr>
          <w:ilvl w:val="0"/>
          <w:numId w:val="27"/>
        </w:numPr>
        <w:jc w:val="both"/>
        <w:rPr>
          <w:rFonts w:asciiTheme="majorHAnsi" w:hAnsiTheme="majorHAnsi"/>
        </w:rPr>
      </w:pPr>
      <w:r w:rsidRPr="004E6F7D">
        <w:rPr>
          <w:rFonts w:asciiTheme="majorHAnsi" w:hAnsiTheme="majorHAnsi"/>
        </w:rPr>
        <w:t>If the Working Group does not manage to reach consensus on an issue, or considers a decision to be made too important for decision at Working Group level, the co-chairs of the Work</w:t>
      </w:r>
      <w:r>
        <w:rPr>
          <w:rFonts w:asciiTheme="majorHAnsi" w:hAnsiTheme="majorHAnsi"/>
        </w:rPr>
        <w:t>ing</w:t>
      </w:r>
      <w:r w:rsidRPr="004E6F7D">
        <w:rPr>
          <w:rFonts w:asciiTheme="majorHAnsi" w:hAnsiTheme="majorHAnsi"/>
        </w:rPr>
        <w:t xml:space="preserve"> Group will bring the issue to the attention of the </w:t>
      </w:r>
      <w:r w:rsidR="00065E80">
        <w:rPr>
          <w:rFonts w:asciiTheme="majorHAnsi" w:hAnsiTheme="majorHAnsi"/>
        </w:rPr>
        <w:t>Governing Board</w:t>
      </w:r>
      <w:r w:rsidR="00065E80" w:rsidRPr="004E6F7D">
        <w:rPr>
          <w:rFonts w:asciiTheme="majorHAnsi" w:hAnsiTheme="majorHAnsi"/>
        </w:rPr>
        <w:t xml:space="preserve"> </w:t>
      </w:r>
      <w:r w:rsidRPr="004E6F7D">
        <w:rPr>
          <w:rFonts w:asciiTheme="majorHAnsi" w:hAnsiTheme="majorHAnsi"/>
        </w:rPr>
        <w:t xml:space="preserve">who will take a final decision. In addition, the Working Group will update the </w:t>
      </w:r>
      <w:r w:rsidR="00065E80">
        <w:rPr>
          <w:rFonts w:asciiTheme="majorHAnsi" w:hAnsiTheme="majorHAnsi"/>
        </w:rPr>
        <w:t>Governing Board</w:t>
      </w:r>
      <w:r w:rsidR="00065E80" w:rsidRPr="004E6F7D">
        <w:rPr>
          <w:rFonts w:asciiTheme="majorHAnsi" w:hAnsiTheme="majorHAnsi"/>
        </w:rPr>
        <w:t xml:space="preserve"> </w:t>
      </w:r>
      <w:r w:rsidRPr="004E6F7D">
        <w:rPr>
          <w:rFonts w:asciiTheme="majorHAnsi" w:hAnsiTheme="majorHAnsi"/>
        </w:rPr>
        <w:t>regularly on any issues arising from the partnership that are of strategic importance to Cochrane.</w:t>
      </w:r>
    </w:p>
    <w:p w14:paraId="2A0F463E" w14:textId="77777777" w:rsidR="00434265" w:rsidRPr="004E6F7D" w:rsidRDefault="00434265" w:rsidP="00434265">
      <w:pPr>
        <w:jc w:val="both"/>
        <w:rPr>
          <w:rFonts w:asciiTheme="majorHAnsi" w:hAnsiTheme="majorHAnsi"/>
        </w:rPr>
      </w:pPr>
    </w:p>
    <w:p w14:paraId="2706701F" w14:textId="77777777" w:rsidR="00434265" w:rsidRPr="004E6F7D" w:rsidRDefault="00434265" w:rsidP="00434265">
      <w:pPr>
        <w:jc w:val="both"/>
        <w:rPr>
          <w:rFonts w:asciiTheme="majorHAnsi" w:hAnsiTheme="majorHAnsi"/>
        </w:rPr>
      </w:pPr>
    </w:p>
    <w:p w14:paraId="3D08268F" w14:textId="77777777" w:rsidR="00434265" w:rsidRPr="004E6F7D" w:rsidRDefault="00434265" w:rsidP="00434265">
      <w:pPr>
        <w:pStyle w:val="PagesHeading"/>
      </w:pPr>
      <w:r w:rsidRPr="004E6F7D">
        <w:t>Meetings and communication</w:t>
      </w:r>
    </w:p>
    <w:p w14:paraId="307B461C" w14:textId="12ABB8E8" w:rsidR="008A2244"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The Working Group </w:t>
      </w:r>
      <w:r w:rsidR="00EC2B3D">
        <w:rPr>
          <w:rFonts w:asciiTheme="majorHAnsi" w:hAnsiTheme="majorHAnsi"/>
        </w:rPr>
        <w:t xml:space="preserve">will meet 3-4 times per year </w:t>
      </w:r>
      <w:r w:rsidR="008A2244">
        <w:rPr>
          <w:rFonts w:asciiTheme="majorHAnsi" w:hAnsiTheme="majorHAnsi"/>
        </w:rPr>
        <w:t>by</w:t>
      </w:r>
      <w:r w:rsidR="00EC2B3D">
        <w:rPr>
          <w:rFonts w:asciiTheme="majorHAnsi" w:hAnsiTheme="majorHAnsi"/>
        </w:rPr>
        <w:t xml:space="preserve"> teleconference. Face to face meetings </w:t>
      </w:r>
      <w:r w:rsidR="008A2244">
        <w:rPr>
          <w:rFonts w:asciiTheme="majorHAnsi" w:hAnsiTheme="majorHAnsi"/>
        </w:rPr>
        <w:t>may be organized occasionally should the opportunity arise</w:t>
      </w:r>
      <w:r w:rsidR="00EC2B3D">
        <w:rPr>
          <w:rFonts w:asciiTheme="majorHAnsi" w:hAnsiTheme="majorHAnsi"/>
        </w:rPr>
        <w:t>.</w:t>
      </w:r>
    </w:p>
    <w:p w14:paraId="571292C0" w14:textId="2595896B" w:rsidR="00434265" w:rsidRPr="00532196" w:rsidRDefault="008A2244" w:rsidP="008A2244">
      <w:pPr>
        <w:pStyle w:val="ListParagraph"/>
        <w:numPr>
          <w:ilvl w:val="0"/>
          <w:numId w:val="26"/>
        </w:numPr>
        <w:jc w:val="both"/>
        <w:rPr>
          <w:rFonts w:asciiTheme="majorHAnsi" w:hAnsiTheme="majorHAnsi"/>
        </w:rPr>
      </w:pPr>
      <w:r>
        <w:rPr>
          <w:rFonts w:asciiTheme="majorHAnsi" w:hAnsiTheme="majorHAnsi"/>
        </w:rPr>
        <w:t>In between teleconferences the Working Group may be consulted by email for urgent issues.</w:t>
      </w:r>
    </w:p>
    <w:p w14:paraId="7E94C010" w14:textId="77777777"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Information on the collaboration with WHO will be posted on the Cochrane website.</w:t>
      </w:r>
    </w:p>
    <w:p w14:paraId="2B9930BB" w14:textId="77777777" w:rsidR="00434265" w:rsidRPr="004E6F7D" w:rsidRDefault="00434265" w:rsidP="00434265">
      <w:pPr>
        <w:jc w:val="both"/>
        <w:rPr>
          <w:rFonts w:asciiTheme="majorHAnsi" w:hAnsiTheme="majorHAnsi"/>
        </w:rPr>
      </w:pPr>
    </w:p>
    <w:p w14:paraId="2EEF46C8" w14:textId="77777777" w:rsidR="00434265" w:rsidRPr="004E6F7D" w:rsidRDefault="00434265" w:rsidP="00434265">
      <w:pPr>
        <w:jc w:val="both"/>
        <w:rPr>
          <w:rFonts w:asciiTheme="majorHAnsi" w:hAnsiTheme="majorHAnsi"/>
          <w:b/>
        </w:rPr>
      </w:pPr>
    </w:p>
    <w:p w14:paraId="0F57BA75" w14:textId="5984138B" w:rsidR="00434265" w:rsidRPr="00EC2B3D" w:rsidRDefault="00434265" w:rsidP="000A01DD">
      <w:pPr>
        <w:pStyle w:val="PagesHeading"/>
      </w:pPr>
      <w:r w:rsidRPr="004E6F7D">
        <w:t>Responsibilities of Working Group members</w:t>
      </w:r>
    </w:p>
    <w:p w14:paraId="3398E223" w14:textId="3AEEA811"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Be available </w:t>
      </w:r>
      <w:r w:rsidR="00EC2B3D">
        <w:rPr>
          <w:rFonts w:asciiTheme="majorHAnsi" w:hAnsiTheme="majorHAnsi"/>
        </w:rPr>
        <w:t>to attend 3 to 4</w:t>
      </w:r>
      <w:r w:rsidRPr="004E6F7D">
        <w:rPr>
          <w:rFonts w:asciiTheme="majorHAnsi" w:hAnsiTheme="majorHAnsi"/>
        </w:rPr>
        <w:t xml:space="preserve"> teleconferences</w:t>
      </w:r>
      <w:r w:rsidR="00EC2B3D">
        <w:rPr>
          <w:rFonts w:asciiTheme="majorHAnsi" w:hAnsiTheme="majorHAnsi"/>
        </w:rPr>
        <w:t xml:space="preserve"> per year</w:t>
      </w:r>
      <w:r w:rsidRPr="004E6F7D">
        <w:rPr>
          <w:rFonts w:asciiTheme="majorHAnsi" w:hAnsiTheme="majorHAnsi"/>
        </w:rPr>
        <w:t>.</w:t>
      </w:r>
    </w:p>
    <w:p w14:paraId="0B282512" w14:textId="77777777"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Be responsive to email requests for advice and input.</w:t>
      </w:r>
    </w:p>
    <w:p w14:paraId="1E22DA8A" w14:textId="0955B411" w:rsidR="00434265" w:rsidRPr="004E6F7D" w:rsidRDefault="00434265" w:rsidP="00434265">
      <w:pPr>
        <w:pStyle w:val="ListParagraph"/>
        <w:numPr>
          <w:ilvl w:val="0"/>
          <w:numId w:val="26"/>
        </w:numPr>
        <w:jc w:val="both"/>
        <w:rPr>
          <w:rFonts w:asciiTheme="majorHAnsi" w:hAnsiTheme="majorHAnsi"/>
        </w:rPr>
      </w:pPr>
      <w:r w:rsidRPr="004E6F7D">
        <w:rPr>
          <w:rFonts w:asciiTheme="majorHAnsi" w:hAnsiTheme="majorHAnsi"/>
        </w:rPr>
        <w:t xml:space="preserve">Comment and approve the written reports and </w:t>
      </w:r>
      <w:r w:rsidR="00EC2B3D">
        <w:rPr>
          <w:rFonts w:asciiTheme="majorHAnsi" w:hAnsiTheme="majorHAnsi"/>
        </w:rPr>
        <w:t>the</w:t>
      </w:r>
      <w:r w:rsidRPr="004E6F7D">
        <w:rPr>
          <w:rFonts w:asciiTheme="majorHAnsi" w:hAnsiTheme="majorHAnsi"/>
        </w:rPr>
        <w:t xml:space="preserve"> plan of work </w:t>
      </w:r>
      <w:r w:rsidR="00EC2B3D">
        <w:rPr>
          <w:rFonts w:asciiTheme="majorHAnsi" w:hAnsiTheme="majorHAnsi"/>
        </w:rPr>
        <w:t>for WHO</w:t>
      </w:r>
      <w:r w:rsidRPr="004E6F7D">
        <w:rPr>
          <w:rFonts w:asciiTheme="majorHAnsi" w:hAnsiTheme="majorHAnsi"/>
        </w:rPr>
        <w:t xml:space="preserve">. </w:t>
      </w:r>
    </w:p>
    <w:p w14:paraId="3A26A00C" w14:textId="37E9A90C" w:rsidR="00434265" w:rsidRPr="004E6F7D" w:rsidRDefault="00EC2B3D" w:rsidP="00434265">
      <w:pPr>
        <w:pStyle w:val="ListParagraph"/>
        <w:numPr>
          <w:ilvl w:val="0"/>
          <w:numId w:val="26"/>
        </w:numPr>
        <w:jc w:val="both"/>
        <w:rPr>
          <w:rFonts w:asciiTheme="majorHAnsi" w:hAnsiTheme="majorHAnsi"/>
        </w:rPr>
      </w:pPr>
      <w:r>
        <w:rPr>
          <w:rFonts w:asciiTheme="majorHAnsi" w:hAnsiTheme="majorHAnsi"/>
        </w:rPr>
        <w:t>Scan the WHO environment, s</w:t>
      </w:r>
      <w:r w:rsidR="00434265" w:rsidRPr="004E6F7D">
        <w:rPr>
          <w:rFonts w:asciiTheme="majorHAnsi" w:hAnsiTheme="majorHAnsi"/>
        </w:rPr>
        <w:t>cout for new opportunities of expanding the partnership with WHO</w:t>
      </w:r>
      <w:r>
        <w:rPr>
          <w:rFonts w:asciiTheme="majorHAnsi" w:hAnsiTheme="majorHAnsi"/>
        </w:rPr>
        <w:t>, and report back to Cochrane</w:t>
      </w:r>
      <w:r w:rsidR="00434265" w:rsidRPr="004E6F7D">
        <w:rPr>
          <w:rFonts w:asciiTheme="majorHAnsi" w:hAnsiTheme="majorHAnsi"/>
        </w:rPr>
        <w:t>.</w:t>
      </w:r>
    </w:p>
    <w:p w14:paraId="374C510E" w14:textId="666D90B3" w:rsidR="00604B05" w:rsidRDefault="00604B05" w:rsidP="00604B05"/>
    <w:p w14:paraId="05CE4E19" w14:textId="77777777" w:rsidR="009B47FC" w:rsidRDefault="009B47FC" w:rsidP="00604B05"/>
    <w:p w14:paraId="5696B78C" w14:textId="77777777" w:rsidR="009B47FC" w:rsidRDefault="009B47FC" w:rsidP="00604B05">
      <w:pPr>
        <w:sectPr w:rsidR="009B47FC" w:rsidSect="000474F3">
          <w:headerReference w:type="default" r:id="rId10"/>
          <w:footerReference w:type="default" r:id="rId11"/>
          <w:pgSz w:w="11906" w:h="16838" w:code="9"/>
          <w:pgMar w:top="1701" w:right="1134" w:bottom="1134" w:left="1134" w:header="680" w:footer="624" w:gutter="0"/>
          <w:cols w:space="708"/>
          <w:docGrid w:linePitch="360"/>
        </w:sectPr>
      </w:pPr>
    </w:p>
    <w:p w14:paraId="23A7AE42" w14:textId="4C891598" w:rsidR="002348F7" w:rsidRDefault="002348F7" w:rsidP="00434265">
      <w:pPr>
        <w:pStyle w:val="PagesIntroduction"/>
      </w:pPr>
    </w:p>
    <w:sectPr w:rsidR="002348F7" w:rsidSect="005F25D7">
      <w:headerReference w:type="default" r:id="rId12"/>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604CD" w14:textId="77777777" w:rsidR="004D6F55" w:rsidRDefault="004D6F55" w:rsidP="001440A0">
      <w:r>
        <w:separator/>
      </w:r>
    </w:p>
  </w:endnote>
  <w:endnote w:type="continuationSeparator" w:id="0">
    <w:p w14:paraId="5029F052" w14:textId="77777777" w:rsidR="004D6F55" w:rsidRDefault="004D6F5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37B3" w14:textId="77777777" w:rsidR="003063DB" w:rsidRPr="001440A0" w:rsidRDefault="003063DB" w:rsidP="001440A0">
    <w:pP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35DCC4F1" w14:textId="77777777" w:rsidR="003063DB" w:rsidRPr="001440A0" w:rsidRDefault="003063DB" w:rsidP="001440A0">
    <w:pPr>
      <w:spacing w:line="320" w:lineRule="exact"/>
      <w:rPr>
        <w:color w:val="002D64" w:themeColor="text2"/>
        <w:sz w:val="30"/>
        <w:szCs w:val="30"/>
      </w:rPr>
    </w:pPr>
    <w:r w:rsidRPr="001440A0">
      <w:rPr>
        <w:color w:val="002D64" w:themeColor="text2"/>
        <w:sz w:val="30"/>
        <w:szCs w:val="30"/>
      </w:rPr>
      <w:t>Informed decisions.</w:t>
    </w:r>
  </w:p>
  <w:p w14:paraId="717C0F24" w14:textId="77777777" w:rsidR="003063DB" w:rsidRPr="001440A0" w:rsidRDefault="003063DB" w:rsidP="001440A0">
    <w:pP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371E" w14:textId="77777777" w:rsidR="003063DB" w:rsidRPr="001440A0" w:rsidRDefault="003063DB" w:rsidP="009B47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E6709" w14:textId="77777777" w:rsidR="004D6F55" w:rsidRDefault="004D6F55" w:rsidP="001440A0">
      <w:r>
        <w:separator/>
      </w:r>
    </w:p>
  </w:footnote>
  <w:footnote w:type="continuationSeparator" w:id="0">
    <w:p w14:paraId="516DDDF2" w14:textId="77777777" w:rsidR="004D6F55" w:rsidRDefault="004D6F55"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04F85" w14:textId="77777777" w:rsidR="003063DB" w:rsidRDefault="003063DB" w:rsidP="005F6907">
    <w:r>
      <w:rPr>
        <w:noProof/>
        <w:lang w:val="en-US"/>
      </w:rPr>
      <w:drawing>
        <wp:inline distT="0" distB="0" distL="0" distR="0" wp14:anchorId="7A2E7245" wp14:editId="62E2B534">
          <wp:extent cx="3023622" cy="624841"/>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val="en-US"/>
      </w:rPr>
      <w:drawing>
        <wp:anchor distT="0" distB="0" distL="114300" distR="114300" simplePos="0" relativeHeight="251659264" behindDoc="1" locked="1" layoutInCell="1" allowOverlap="1" wp14:anchorId="2E4E7AB6" wp14:editId="13C66466">
          <wp:simplePos x="0" y="0"/>
          <wp:positionH relativeFrom="column">
            <wp:posOffset>3500120</wp:posOffset>
          </wp:positionH>
          <wp:positionV relativeFrom="paragraph">
            <wp:posOffset>-426085</wp:posOffset>
          </wp:positionV>
          <wp:extent cx="318833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581B0" w14:textId="338E4DC4" w:rsidR="003063DB" w:rsidRPr="00604B05" w:rsidRDefault="00434265" w:rsidP="004242C7">
    <w:pPr>
      <w:pStyle w:val="Header"/>
    </w:pPr>
    <w:r>
      <w:t>Terms of Reference</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5F158D">
      <w:rPr>
        <w:noProof/>
      </w:rPr>
      <w:t>3</w:t>
    </w:r>
    <w:r w:rsidR="00C23B0A" w:rsidRPr="00604B05">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6227" w14:textId="77777777" w:rsidR="003063DB" w:rsidRPr="00604B05" w:rsidRDefault="003063DB" w:rsidP="004242C7">
    <w:pPr>
      <w:pStyle w:val="Header"/>
    </w:pPr>
    <w:r w:rsidRPr="00604B05">
      <w:t>Document title</w:t>
    </w:r>
    <w:r w:rsidRPr="00604B05">
      <w:tab/>
    </w:r>
    <w:r w:rsidR="00C23B0A" w:rsidRPr="00604B05">
      <w:fldChar w:fldCharType="begin"/>
    </w:r>
    <w:r w:rsidRPr="00604B05">
      <w:instrText xml:space="preserve"> PAGE   \* MERGEFORMAT </w:instrText>
    </w:r>
    <w:r w:rsidR="00C23B0A" w:rsidRPr="00604B05">
      <w:fldChar w:fldCharType="separate"/>
    </w:r>
    <w:r w:rsidR="00434265">
      <w:rPr>
        <w:noProof/>
      </w:rPr>
      <w:t>4</w:t>
    </w:r>
    <w:r w:rsidR="00C23B0A" w:rsidRPr="00604B05">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FA77A0"/>
    <w:lvl w:ilvl="0">
      <w:start w:val="1"/>
      <w:numFmt w:val="decimal"/>
      <w:lvlText w:val="%1."/>
      <w:lvlJc w:val="left"/>
      <w:pPr>
        <w:tabs>
          <w:tab w:val="num" w:pos="1492"/>
        </w:tabs>
        <w:ind w:left="1492" w:hanging="360"/>
      </w:pPr>
    </w:lvl>
  </w:abstractNum>
  <w:abstractNum w:abstractNumId="2">
    <w:nsid w:val="FFFFFF7D"/>
    <w:multiLevelType w:val="singleLevel"/>
    <w:tmpl w:val="CE4006EE"/>
    <w:lvl w:ilvl="0">
      <w:start w:val="1"/>
      <w:numFmt w:val="decimal"/>
      <w:lvlText w:val="%1."/>
      <w:lvlJc w:val="left"/>
      <w:pPr>
        <w:tabs>
          <w:tab w:val="num" w:pos="1209"/>
        </w:tabs>
        <w:ind w:left="1209" w:hanging="360"/>
      </w:pPr>
    </w:lvl>
  </w:abstractNum>
  <w:abstractNum w:abstractNumId="3">
    <w:nsid w:val="FFFFFF7E"/>
    <w:multiLevelType w:val="singleLevel"/>
    <w:tmpl w:val="224AD786"/>
    <w:lvl w:ilvl="0">
      <w:start w:val="1"/>
      <w:numFmt w:val="decimal"/>
      <w:lvlText w:val="%1."/>
      <w:lvlJc w:val="left"/>
      <w:pPr>
        <w:tabs>
          <w:tab w:val="num" w:pos="926"/>
        </w:tabs>
        <w:ind w:left="926" w:hanging="360"/>
      </w:pPr>
    </w:lvl>
  </w:abstractNum>
  <w:abstractNum w:abstractNumId="4">
    <w:nsid w:val="FFFFFF7F"/>
    <w:multiLevelType w:val="singleLevel"/>
    <w:tmpl w:val="B316D6F2"/>
    <w:lvl w:ilvl="0">
      <w:start w:val="1"/>
      <w:numFmt w:val="decimal"/>
      <w:lvlText w:val="%1."/>
      <w:lvlJc w:val="left"/>
      <w:pPr>
        <w:tabs>
          <w:tab w:val="num" w:pos="643"/>
        </w:tabs>
        <w:ind w:left="643" w:hanging="360"/>
      </w:pPr>
    </w:lvl>
  </w:abstractNum>
  <w:abstractNum w:abstractNumId="5">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12AE30"/>
    <w:lvl w:ilvl="0">
      <w:start w:val="1"/>
      <w:numFmt w:val="decimal"/>
      <w:lvlText w:val="%1."/>
      <w:lvlJc w:val="left"/>
      <w:pPr>
        <w:tabs>
          <w:tab w:val="num" w:pos="360"/>
        </w:tabs>
        <w:ind w:left="360" w:hanging="360"/>
      </w:pPr>
    </w:lvl>
  </w:abstractNum>
  <w:abstractNum w:abstractNumId="1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9917974"/>
    <w:multiLevelType w:val="hybridMultilevel"/>
    <w:tmpl w:val="AF5C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4D6609C"/>
    <w:multiLevelType w:val="multilevel"/>
    <w:tmpl w:val="0409001F"/>
    <w:numStyleLink w:val="111111"/>
  </w:abstractNum>
  <w:abstractNum w:abstractNumId="18">
    <w:nsid w:val="2DA141DF"/>
    <w:multiLevelType w:val="hybridMultilevel"/>
    <w:tmpl w:val="7C5E8F40"/>
    <w:lvl w:ilvl="0" w:tplc="DE4A4F8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11C78"/>
    <w:multiLevelType w:val="multilevel"/>
    <w:tmpl w:val="0409001F"/>
    <w:numStyleLink w:val="111111"/>
  </w:abstractNum>
  <w:abstractNum w:abstractNumId="20">
    <w:nsid w:val="410237D5"/>
    <w:multiLevelType w:val="hybridMultilevel"/>
    <w:tmpl w:val="6CFC755C"/>
    <w:lvl w:ilvl="0" w:tplc="DE4A4F8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4">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24"/>
  </w:num>
  <w:num w:numId="3">
    <w:abstractNumId w:val="17"/>
  </w:num>
  <w:num w:numId="4">
    <w:abstractNumId w:val="23"/>
  </w:num>
  <w:num w:numId="5">
    <w:abstractNumId w:val="19"/>
  </w:num>
  <w:num w:numId="6">
    <w:abstractNumId w:val="11"/>
  </w:num>
  <w:num w:numId="7">
    <w:abstractNumId w:val="16"/>
  </w:num>
  <w:num w:numId="8">
    <w:abstractNumId w:val="22"/>
  </w:num>
  <w:num w:numId="9">
    <w:abstractNumId w:val="14"/>
  </w:num>
  <w:num w:numId="10">
    <w:abstractNumId w:val="26"/>
  </w:num>
  <w:num w:numId="11">
    <w:abstractNumId w:val="13"/>
  </w:num>
  <w:num w:numId="12">
    <w:abstractNumId w:val="12"/>
  </w:num>
  <w:num w:numId="13">
    <w:abstractNumId w:val="2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20"/>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29"/>
    <w:rsid w:val="0001186D"/>
    <w:rsid w:val="000474F3"/>
    <w:rsid w:val="000573E2"/>
    <w:rsid w:val="00065E80"/>
    <w:rsid w:val="00067470"/>
    <w:rsid w:val="00087ACC"/>
    <w:rsid w:val="000A01DD"/>
    <w:rsid w:val="000E1E98"/>
    <w:rsid w:val="001075B6"/>
    <w:rsid w:val="00143C1B"/>
    <w:rsid w:val="001440A0"/>
    <w:rsid w:val="001533F7"/>
    <w:rsid w:val="0016601E"/>
    <w:rsid w:val="00166E07"/>
    <w:rsid w:val="001A6C76"/>
    <w:rsid w:val="001E3F92"/>
    <w:rsid w:val="00222767"/>
    <w:rsid w:val="00232BD1"/>
    <w:rsid w:val="002348F7"/>
    <w:rsid w:val="00241D85"/>
    <w:rsid w:val="00246B15"/>
    <w:rsid w:val="002576AB"/>
    <w:rsid w:val="00290335"/>
    <w:rsid w:val="002A3A80"/>
    <w:rsid w:val="002B1BB6"/>
    <w:rsid w:val="002B327A"/>
    <w:rsid w:val="002C00B0"/>
    <w:rsid w:val="002E6177"/>
    <w:rsid w:val="002F71F2"/>
    <w:rsid w:val="003063DB"/>
    <w:rsid w:val="0031760C"/>
    <w:rsid w:val="00375D1D"/>
    <w:rsid w:val="003C0907"/>
    <w:rsid w:val="00412767"/>
    <w:rsid w:val="004242C7"/>
    <w:rsid w:val="00434265"/>
    <w:rsid w:val="00467C49"/>
    <w:rsid w:val="00483235"/>
    <w:rsid w:val="004A37B7"/>
    <w:rsid w:val="004B7A27"/>
    <w:rsid w:val="004C3669"/>
    <w:rsid w:val="004C41CE"/>
    <w:rsid w:val="004D6F55"/>
    <w:rsid w:val="004F216B"/>
    <w:rsid w:val="00511BE7"/>
    <w:rsid w:val="00532196"/>
    <w:rsid w:val="00540BAD"/>
    <w:rsid w:val="0055510C"/>
    <w:rsid w:val="0055732C"/>
    <w:rsid w:val="00562279"/>
    <w:rsid w:val="00575298"/>
    <w:rsid w:val="00590542"/>
    <w:rsid w:val="0059587A"/>
    <w:rsid w:val="005C519D"/>
    <w:rsid w:val="005F158D"/>
    <w:rsid w:val="005F25D7"/>
    <w:rsid w:val="005F6907"/>
    <w:rsid w:val="00604B05"/>
    <w:rsid w:val="006D763E"/>
    <w:rsid w:val="00733A48"/>
    <w:rsid w:val="00746C8B"/>
    <w:rsid w:val="007510B3"/>
    <w:rsid w:val="00770CEA"/>
    <w:rsid w:val="00775884"/>
    <w:rsid w:val="00782065"/>
    <w:rsid w:val="00783361"/>
    <w:rsid w:val="007A2DB9"/>
    <w:rsid w:val="007A6DF6"/>
    <w:rsid w:val="007B2DE0"/>
    <w:rsid w:val="007F0C24"/>
    <w:rsid w:val="007F5BC6"/>
    <w:rsid w:val="00803BA7"/>
    <w:rsid w:val="00841B40"/>
    <w:rsid w:val="008435B3"/>
    <w:rsid w:val="0085596D"/>
    <w:rsid w:val="0086019D"/>
    <w:rsid w:val="00871B87"/>
    <w:rsid w:val="00874B2B"/>
    <w:rsid w:val="008A2244"/>
    <w:rsid w:val="008D41D1"/>
    <w:rsid w:val="00913535"/>
    <w:rsid w:val="00932CE3"/>
    <w:rsid w:val="0097680B"/>
    <w:rsid w:val="0098140E"/>
    <w:rsid w:val="00994A64"/>
    <w:rsid w:val="009A4C8C"/>
    <w:rsid w:val="009B47FC"/>
    <w:rsid w:val="009C4952"/>
    <w:rsid w:val="00A47986"/>
    <w:rsid w:val="00A67B13"/>
    <w:rsid w:val="00A852A3"/>
    <w:rsid w:val="00A8723C"/>
    <w:rsid w:val="00AE0C59"/>
    <w:rsid w:val="00B342E7"/>
    <w:rsid w:val="00B5470F"/>
    <w:rsid w:val="00B62AF8"/>
    <w:rsid w:val="00B77171"/>
    <w:rsid w:val="00B80567"/>
    <w:rsid w:val="00BB0359"/>
    <w:rsid w:val="00BD7CA9"/>
    <w:rsid w:val="00BE54C2"/>
    <w:rsid w:val="00C05A98"/>
    <w:rsid w:val="00C23B0A"/>
    <w:rsid w:val="00C74BE0"/>
    <w:rsid w:val="00C97601"/>
    <w:rsid w:val="00CA4029"/>
    <w:rsid w:val="00CB6D8C"/>
    <w:rsid w:val="00CB725C"/>
    <w:rsid w:val="00CC7A48"/>
    <w:rsid w:val="00CF7096"/>
    <w:rsid w:val="00D06FB1"/>
    <w:rsid w:val="00D17963"/>
    <w:rsid w:val="00D41BBB"/>
    <w:rsid w:val="00D43481"/>
    <w:rsid w:val="00D45B07"/>
    <w:rsid w:val="00D709E7"/>
    <w:rsid w:val="00D74846"/>
    <w:rsid w:val="00DA543E"/>
    <w:rsid w:val="00E03F3F"/>
    <w:rsid w:val="00E14235"/>
    <w:rsid w:val="00E3239D"/>
    <w:rsid w:val="00EA6610"/>
    <w:rsid w:val="00EB0438"/>
    <w:rsid w:val="00EC2B3D"/>
    <w:rsid w:val="00EC408A"/>
    <w:rsid w:val="00EE2815"/>
    <w:rsid w:val="00F024CF"/>
    <w:rsid w:val="00F5561E"/>
    <w:rsid w:val="00F70157"/>
    <w:rsid w:val="00F72626"/>
    <w:rsid w:val="00F8180A"/>
    <w:rsid w:val="00FA7077"/>
    <w:rsid w:val="00FA78D0"/>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8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434265"/>
    <w:pPr>
      <w:tabs>
        <w:tab w:val="center" w:pos="4680"/>
        <w:tab w:val="right" w:pos="9360"/>
      </w:tabs>
    </w:pPr>
  </w:style>
  <w:style w:type="character" w:customStyle="1" w:styleId="FooterChar">
    <w:name w:val="Footer Char"/>
    <w:basedOn w:val="DefaultParagraphFont"/>
    <w:link w:val="Footer"/>
    <w:uiPriority w:val="99"/>
    <w:rsid w:val="00434265"/>
  </w:style>
  <w:style w:type="character" w:styleId="CommentReference">
    <w:name w:val="annotation reference"/>
    <w:basedOn w:val="DefaultParagraphFont"/>
    <w:uiPriority w:val="99"/>
    <w:semiHidden/>
    <w:unhideWhenUsed/>
    <w:rsid w:val="00065E80"/>
    <w:rPr>
      <w:sz w:val="18"/>
      <w:szCs w:val="18"/>
    </w:rPr>
  </w:style>
  <w:style w:type="paragraph" w:styleId="CommentText">
    <w:name w:val="annotation text"/>
    <w:basedOn w:val="Normal"/>
    <w:link w:val="CommentTextChar"/>
    <w:uiPriority w:val="99"/>
    <w:semiHidden/>
    <w:unhideWhenUsed/>
    <w:rsid w:val="00065E80"/>
    <w:rPr>
      <w:sz w:val="24"/>
      <w:szCs w:val="24"/>
    </w:rPr>
  </w:style>
  <w:style w:type="character" w:customStyle="1" w:styleId="CommentTextChar">
    <w:name w:val="Comment Text Char"/>
    <w:basedOn w:val="DefaultParagraphFont"/>
    <w:link w:val="CommentText"/>
    <w:uiPriority w:val="99"/>
    <w:semiHidden/>
    <w:rsid w:val="00065E80"/>
    <w:rPr>
      <w:sz w:val="24"/>
      <w:szCs w:val="24"/>
    </w:rPr>
  </w:style>
  <w:style w:type="paragraph" w:styleId="CommentSubject">
    <w:name w:val="annotation subject"/>
    <w:basedOn w:val="CommentText"/>
    <w:next w:val="CommentText"/>
    <w:link w:val="CommentSubjectChar"/>
    <w:uiPriority w:val="99"/>
    <w:semiHidden/>
    <w:unhideWhenUsed/>
    <w:rsid w:val="00065E80"/>
    <w:rPr>
      <w:b/>
      <w:bCs/>
      <w:sz w:val="20"/>
      <w:szCs w:val="20"/>
    </w:rPr>
  </w:style>
  <w:style w:type="character" w:customStyle="1" w:styleId="CommentSubjectChar">
    <w:name w:val="Comment Subject Char"/>
    <w:basedOn w:val="CommentTextChar"/>
    <w:link w:val="CommentSubject"/>
    <w:uiPriority w:val="99"/>
    <w:semiHidden/>
    <w:rsid w:val="00065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08350-351E-F94F-A9BF-2A812F0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3901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Warren</dc:creator>
  <cp:lastModifiedBy>Sylvia De Haan</cp:lastModifiedBy>
  <cp:revision>2</cp:revision>
  <cp:lastPrinted>2016-01-15T15:38:00Z</cp:lastPrinted>
  <dcterms:created xsi:type="dcterms:W3CDTF">2018-01-25T13:20:00Z</dcterms:created>
  <dcterms:modified xsi:type="dcterms:W3CDTF">2018-01-25T13:20:00Z</dcterms:modified>
</cp:coreProperties>
</file>